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7F59" w14:textId="61B6BC12" w:rsidR="0058727B" w:rsidRDefault="00E05685" w:rsidP="00E87473">
      <w:pPr>
        <w:jc w:val="center"/>
        <w:rPr>
          <w:b/>
          <w:bCs/>
        </w:rPr>
      </w:pPr>
      <w:r w:rsidRPr="00E05685">
        <w:rPr>
          <w:b/>
          <w:bCs/>
        </w:rPr>
        <w:t>Contribution des familles 2026/2027</w:t>
      </w:r>
    </w:p>
    <w:p w14:paraId="6109D085" w14:textId="77777777" w:rsidR="00207B39" w:rsidRDefault="00207B39">
      <w:pPr>
        <w:rPr>
          <w:b/>
          <w:bCs/>
        </w:rPr>
      </w:pPr>
    </w:p>
    <w:p w14:paraId="5D600530" w14:textId="77777777" w:rsidR="00207B39" w:rsidRPr="005E45E5" w:rsidRDefault="00207B39" w:rsidP="00207B39">
      <w:r w:rsidRPr="005E45E5">
        <w:t xml:space="preserve">Au Centre scolaire La Xavière, la contribution scolaire des familles est établie selon le principe de l’indice familial. </w:t>
      </w:r>
    </w:p>
    <w:p w14:paraId="47B3DF93" w14:textId="77777777" w:rsidR="00207B39" w:rsidRPr="005E45E5" w:rsidRDefault="00207B39" w:rsidP="00207B39">
      <w:r w:rsidRPr="005E45E5">
        <w:t xml:space="preserve">A l’aide du mode de calcul joint au message, vous pourrez calculer votre indice familial.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4"/>
      </w:tblGrid>
      <w:tr w:rsidR="00207B39" w:rsidRPr="005E45E5" w14:paraId="1BC01ED0" w14:textId="77777777" w:rsidTr="00553F8D">
        <w:trPr>
          <w:trHeight w:val="103"/>
        </w:trPr>
        <w:tc>
          <w:tcPr>
            <w:tcW w:w="8694" w:type="dxa"/>
            <w:tcBorders>
              <w:top w:val="none" w:sz="6" w:space="0" w:color="auto"/>
              <w:bottom w:val="none" w:sz="6" w:space="0" w:color="auto"/>
            </w:tcBorders>
          </w:tcPr>
          <w:p w14:paraId="5A94DBC6" w14:textId="77777777" w:rsidR="00207B39" w:rsidRPr="005E45E5" w:rsidRDefault="00207B39" w:rsidP="00553F8D">
            <w:r w:rsidRPr="005E45E5">
              <w:t xml:space="preserve">Celui-ci, et le tableau ci-dessous, vous serviront à définir la Lettre-Clé à renseigner dans la procédure d’inscription. </w:t>
            </w:r>
            <w:r w:rsidRPr="005E45E5">
              <w:rPr>
                <w:b/>
                <w:bCs/>
              </w:rPr>
              <w:t xml:space="preserve">TABLEAU DES CONTRIBUTIONS FAMILIALES ANNUELLES </w:t>
            </w:r>
          </w:p>
        </w:tc>
      </w:tr>
      <w:tr w:rsidR="00207B39" w:rsidRPr="005E45E5" w14:paraId="7FD0B9E5" w14:textId="77777777" w:rsidTr="00553F8D">
        <w:trPr>
          <w:trHeight w:val="83"/>
        </w:trPr>
        <w:tc>
          <w:tcPr>
            <w:tcW w:w="8694" w:type="dxa"/>
            <w:tcBorders>
              <w:top w:val="none" w:sz="6" w:space="0" w:color="auto"/>
              <w:bottom w:val="none" w:sz="6" w:space="0" w:color="auto"/>
            </w:tcBorders>
          </w:tcPr>
          <w:p w14:paraId="346AC9E9" w14:textId="77777777" w:rsidR="00207B39" w:rsidRPr="005E45E5" w:rsidRDefault="00207B39" w:rsidP="00553F8D">
            <w:r w:rsidRPr="005E45E5">
              <w:t xml:space="preserve">(par enfant, en euros, toutes cotisations annuelles obligatoires(1) incluses) </w:t>
            </w:r>
          </w:p>
        </w:tc>
      </w:tr>
      <w:tr w:rsidR="00207B39" w:rsidRPr="005E45E5" w14:paraId="25E2A097" w14:textId="77777777" w:rsidTr="00207B39">
        <w:trPr>
          <w:trHeight w:val="209"/>
        </w:trPr>
        <w:tc>
          <w:tcPr>
            <w:tcW w:w="8694" w:type="dxa"/>
            <w:tcBorders>
              <w:top w:val="none" w:sz="6" w:space="0" w:color="auto"/>
              <w:bottom w:val="none" w:sz="6" w:space="0" w:color="auto"/>
            </w:tcBorders>
          </w:tcPr>
          <w:p w14:paraId="0578869F" w14:textId="32CD0F95" w:rsidR="00207B39" w:rsidRPr="005E45E5" w:rsidRDefault="00207B39" w:rsidP="00553F8D">
            <w:r w:rsidRPr="005E45E5">
              <w:rPr>
                <w:b/>
                <w:bCs/>
              </w:rPr>
              <w:t>Tarifs 202</w:t>
            </w:r>
            <w:r>
              <w:rPr>
                <w:b/>
                <w:bCs/>
              </w:rPr>
              <w:t>6</w:t>
            </w:r>
            <w:r w:rsidRPr="005E45E5">
              <w:rPr>
                <w:b/>
                <w:bCs/>
              </w:rPr>
              <w:t>-202</w:t>
            </w:r>
            <w:r>
              <w:rPr>
                <w:b/>
                <w:bCs/>
              </w:rPr>
              <w:t>67</w:t>
            </w:r>
          </w:p>
          <w:p w14:paraId="7BD1421F" w14:textId="7E7D75B6" w:rsidR="00207B39" w:rsidRPr="005E45E5" w:rsidRDefault="00207B39" w:rsidP="00553F8D">
            <w:r w:rsidRPr="005E45E5">
              <w:t>(ré-évaluables pour 202</w:t>
            </w:r>
            <w:r>
              <w:t>7</w:t>
            </w:r>
            <w:r w:rsidRPr="005E45E5">
              <w:t>-202</w:t>
            </w:r>
            <w:r>
              <w:t>8</w:t>
            </w:r>
            <w:r w:rsidRPr="005E45E5">
              <w:t xml:space="preserve">) </w:t>
            </w:r>
          </w:p>
        </w:tc>
      </w:tr>
    </w:tbl>
    <w:p w14:paraId="5EDD2F79" w14:textId="77777777" w:rsidR="00E05685" w:rsidRDefault="00E05685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38"/>
        <w:gridCol w:w="1738"/>
        <w:gridCol w:w="1738"/>
        <w:gridCol w:w="1742"/>
      </w:tblGrid>
      <w:tr w:rsidR="00E05685" w:rsidRPr="005E45E5" w14:paraId="3BA310C2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A3C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Indice Familial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E82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Lettre-Clé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B7C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Ecoles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7C0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Collèges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0F7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Lycée </w:t>
            </w:r>
          </w:p>
        </w:tc>
      </w:tr>
      <w:tr w:rsidR="00E05685" w:rsidRPr="005E45E5" w14:paraId="77FF5B51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D53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inférieur à 866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F63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A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B15" w14:textId="77777777" w:rsidR="00E05685" w:rsidRPr="005E45E5" w:rsidRDefault="00E05685" w:rsidP="00553F8D">
            <w:r w:rsidRPr="009C451C">
              <w:rPr>
                <w:b/>
                <w:bCs/>
                <w:color w:val="EE0000"/>
              </w:rPr>
              <w:t>4</w:t>
            </w:r>
            <w:r>
              <w:rPr>
                <w:b/>
                <w:bCs/>
                <w:color w:val="EE0000"/>
              </w:rPr>
              <w:t>80</w:t>
            </w:r>
            <w:r w:rsidRPr="009C451C">
              <w:rPr>
                <w:b/>
                <w:bCs/>
                <w:color w:val="EE0000"/>
              </w:rPr>
              <w:t xml:space="preserve">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0609C" w14:textId="77777777" w:rsidR="00E05685" w:rsidRPr="00CA5964" w:rsidRDefault="00E05685" w:rsidP="00553F8D">
            <w:r w:rsidRPr="009C451C">
              <w:rPr>
                <w:b/>
                <w:bCs/>
                <w:color w:val="EE0000"/>
              </w:rPr>
              <w:t xml:space="preserve">602 €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B31" w14:textId="77777777" w:rsidR="00E05685" w:rsidRPr="00CA5964" w:rsidRDefault="00E05685" w:rsidP="00553F8D">
            <w:r w:rsidRPr="009C451C">
              <w:rPr>
                <w:b/>
                <w:bCs/>
                <w:color w:val="EE0000"/>
              </w:rPr>
              <w:t xml:space="preserve">661 € </w:t>
            </w:r>
          </w:p>
        </w:tc>
      </w:tr>
      <w:tr w:rsidR="00E05685" w:rsidRPr="005E45E5" w14:paraId="2B5C44AA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E6F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de 867 à 2460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37A" w14:textId="77777777" w:rsidR="00E05685" w:rsidRPr="00CA5964" w:rsidRDefault="00E05685" w:rsidP="00553F8D">
            <w:r w:rsidRPr="00CA5964">
              <w:rPr>
                <w:b/>
                <w:bCs/>
              </w:rPr>
              <w:t xml:space="preserve">B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048" w14:textId="77777777" w:rsidR="00E05685" w:rsidRPr="009C451C" w:rsidRDefault="00E05685" w:rsidP="00553F8D">
            <w:pPr>
              <w:rPr>
                <w:color w:val="EE0000"/>
              </w:rPr>
            </w:pPr>
            <w:r w:rsidRPr="009C451C">
              <w:rPr>
                <w:b/>
                <w:bCs/>
                <w:color w:val="EE0000"/>
              </w:rPr>
              <w:t xml:space="preserve">704 €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F48" w14:textId="77777777" w:rsidR="00E05685" w:rsidRPr="009C451C" w:rsidRDefault="00E05685" w:rsidP="00553F8D">
            <w:pPr>
              <w:rPr>
                <w:color w:val="EE0000"/>
              </w:rPr>
            </w:pPr>
            <w:r w:rsidRPr="009C451C">
              <w:rPr>
                <w:b/>
                <w:bCs/>
                <w:color w:val="EE0000"/>
              </w:rPr>
              <w:t xml:space="preserve">880 €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EAE" w14:textId="77777777" w:rsidR="00E05685" w:rsidRPr="00CA5964" w:rsidRDefault="00E05685" w:rsidP="00553F8D">
            <w:r w:rsidRPr="009C451C">
              <w:rPr>
                <w:b/>
                <w:bCs/>
                <w:color w:val="EE0000"/>
              </w:rPr>
              <w:t xml:space="preserve">968 € </w:t>
            </w:r>
          </w:p>
        </w:tc>
      </w:tr>
      <w:tr w:rsidR="00E05685" w:rsidRPr="005E45E5" w14:paraId="1D8296DD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43A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de 2461 à 4774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014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D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DBEC" w14:textId="77777777" w:rsidR="00E05685" w:rsidRPr="00D70FE3" w:rsidRDefault="00E05685" w:rsidP="00553F8D">
            <w:pPr>
              <w:rPr>
                <w:highlight w:val="yellow"/>
              </w:rPr>
            </w:pPr>
            <w:r w:rsidRPr="009C451C">
              <w:rPr>
                <w:b/>
                <w:bCs/>
                <w:color w:val="EE0000"/>
              </w:rPr>
              <w:t xml:space="preserve">928 €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077" w14:textId="77777777" w:rsidR="00E05685" w:rsidRPr="009C451C" w:rsidRDefault="00E05685" w:rsidP="00553F8D">
            <w:pPr>
              <w:rPr>
                <w:color w:val="EE0000"/>
                <w:highlight w:val="yellow"/>
              </w:rPr>
            </w:pPr>
            <w:r w:rsidRPr="009C451C">
              <w:rPr>
                <w:b/>
                <w:bCs/>
                <w:color w:val="EE0000"/>
              </w:rPr>
              <w:t xml:space="preserve">1 162 €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601" w14:textId="77777777" w:rsidR="00E05685" w:rsidRPr="009C451C" w:rsidRDefault="00E05685" w:rsidP="00553F8D">
            <w:pPr>
              <w:rPr>
                <w:color w:val="EE0000"/>
                <w:highlight w:val="yellow"/>
              </w:rPr>
            </w:pPr>
            <w:r w:rsidRPr="009C451C">
              <w:rPr>
                <w:b/>
                <w:bCs/>
                <w:color w:val="EE0000"/>
              </w:rPr>
              <w:t xml:space="preserve">1 277 € </w:t>
            </w:r>
          </w:p>
        </w:tc>
      </w:tr>
      <w:tr w:rsidR="00E05685" w:rsidRPr="005E45E5" w14:paraId="31312C30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F3D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de 4775 à 7717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E6B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F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EC0" w14:textId="77777777" w:rsidR="00E05685" w:rsidRPr="00D70FE3" w:rsidRDefault="00E05685" w:rsidP="00553F8D">
            <w:pPr>
              <w:rPr>
                <w:highlight w:val="yellow"/>
              </w:rPr>
            </w:pPr>
            <w:r w:rsidRPr="009C451C">
              <w:rPr>
                <w:b/>
                <w:bCs/>
                <w:color w:val="EE0000"/>
              </w:rPr>
              <w:t xml:space="preserve">1 090 €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0FC" w14:textId="77777777" w:rsidR="00E05685" w:rsidRPr="00CA5964" w:rsidRDefault="00E05685" w:rsidP="00553F8D">
            <w:r w:rsidRPr="009C451C">
              <w:rPr>
                <w:b/>
                <w:bCs/>
                <w:color w:val="EE0000"/>
              </w:rPr>
              <w:t xml:space="preserve">1 362 €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E51" w14:textId="77777777" w:rsidR="00E05685" w:rsidRPr="00D70FE3" w:rsidRDefault="00E05685" w:rsidP="00553F8D">
            <w:pPr>
              <w:rPr>
                <w:highlight w:val="yellow"/>
              </w:rPr>
            </w:pPr>
            <w:r w:rsidRPr="009C451C">
              <w:rPr>
                <w:b/>
                <w:bCs/>
                <w:color w:val="EE0000"/>
              </w:rPr>
              <w:t xml:space="preserve">1 497 € </w:t>
            </w:r>
          </w:p>
        </w:tc>
      </w:tr>
      <w:tr w:rsidR="00E05685" w:rsidRPr="005E45E5" w14:paraId="0DA98A30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135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de 7718 à 11474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AF1" w14:textId="77777777" w:rsidR="00E05685" w:rsidRPr="00CA5964" w:rsidRDefault="00E05685" w:rsidP="00553F8D">
            <w:r w:rsidRPr="00CA5964">
              <w:rPr>
                <w:b/>
                <w:bCs/>
              </w:rPr>
              <w:t xml:space="preserve">H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D79" w14:textId="77777777" w:rsidR="00E05685" w:rsidRPr="009C451C" w:rsidRDefault="00E05685" w:rsidP="00553F8D">
            <w:pPr>
              <w:rPr>
                <w:color w:val="EE0000"/>
              </w:rPr>
            </w:pPr>
            <w:r w:rsidRPr="009C451C">
              <w:rPr>
                <w:b/>
                <w:bCs/>
                <w:color w:val="EE0000"/>
              </w:rPr>
              <w:t xml:space="preserve">1 325 €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791" w14:textId="77777777" w:rsidR="00E05685" w:rsidRPr="009C451C" w:rsidRDefault="00E05685" w:rsidP="00553F8D">
            <w:pPr>
              <w:rPr>
                <w:color w:val="EE0000"/>
              </w:rPr>
            </w:pPr>
            <w:r w:rsidRPr="009C451C">
              <w:rPr>
                <w:b/>
                <w:bCs/>
                <w:color w:val="EE0000"/>
              </w:rPr>
              <w:t xml:space="preserve">1 656 €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BD9" w14:textId="77777777" w:rsidR="00E05685" w:rsidRPr="009C451C" w:rsidRDefault="00E05685" w:rsidP="00553F8D">
            <w:pPr>
              <w:rPr>
                <w:color w:val="EE0000"/>
                <w:highlight w:val="yellow"/>
              </w:rPr>
            </w:pPr>
            <w:r w:rsidRPr="009C451C">
              <w:rPr>
                <w:b/>
                <w:bCs/>
                <w:color w:val="EE0000"/>
              </w:rPr>
              <w:t xml:space="preserve">1 821€ </w:t>
            </w:r>
          </w:p>
        </w:tc>
      </w:tr>
      <w:tr w:rsidR="00E05685" w:rsidRPr="005E45E5" w14:paraId="6D2DEDB9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BB6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de 11475 à 14286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867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J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59B" w14:textId="77777777" w:rsidR="00E05685" w:rsidRPr="00064CE1" w:rsidRDefault="00E05685" w:rsidP="00553F8D">
            <w:pPr>
              <w:rPr>
                <w:color w:val="EE0000"/>
                <w:highlight w:val="yellow"/>
              </w:rPr>
            </w:pPr>
            <w:r w:rsidRPr="00064CE1">
              <w:rPr>
                <w:b/>
                <w:bCs/>
                <w:color w:val="EE0000"/>
              </w:rPr>
              <w:t xml:space="preserve">1 453 €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B25" w14:textId="77777777" w:rsidR="00E05685" w:rsidRPr="00064CE1" w:rsidRDefault="00E05685" w:rsidP="00553F8D">
            <w:pPr>
              <w:rPr>
                <w:color w:val="EE0000"/>
                <w:highlight w:val="yellow"/>
              </w:rPr>
            </w:pPr>
            <w:r w:rsidRPr="00064CE1">
              <w:rPr>
                <w:b/>
                <w:bCs/>
                <w:color w:val="EE0000"/>
              </w:rPr>
              <w:t xml:space="preserve">1 815 €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15A" w14:textId="77777777" w:rsidR="00E05685" w:rsidRPr="00D70FE3" w:rsidRDefault="00E05685" w:rsidP="00553F8D">
            <w:pPr>
              <w:rPr>
                <w:highlight w:val="yellow"/>
              </w:rPr>
            </w:pPr>
            <w:r w:rsidRPr="00064CE1">
              <w:rPr>
                <w:b/>
                <w:bCs/>
                <w:color w:val="EE0000"/>
              </w:rPr>
              <w:t>1 997 €</w:t>
            </w:r>
          </w:p>
        </w:tc>
      </w:tr>
      <w:tr w:rsidR="00E05685" w:rsidRPr="005E45E5" w14:paraId="4D2F2826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EDB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supérieur à 14286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9B8" w14:textId="77777777" w:rsidR="00E05685" w:rsidRPr="005E45E5" w:rsidRDefault="00E05685" w:rsidP="00553F8D">
            <w:r w:rsidRPr="005E45E5">
              <w:rPr>
                <w:b/>
                <w:bCs/>
              </w:rPr>
              <w:t xml:space="preserve">L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099" w14:textId="77777777" w:rsidR="00E05685" w:rsidRPr="00B91E3C" w:rsidRDefault="00E05685" w:rsidP="00553F8D">
            <w:r w:rsidRPr="00064CE1">
              <w:rPr>
                <w:b/>
                <w:bCs/>
                <w:color w:val="EE0000"/>
              </w:rPr>
              <w:t xml:space="preserve">1 527 €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EA9" w14:textId="77777777" w:rsidR="00E05685" w:rsidRPr="00B91E3C" w:rsidRDefault="00E05685" w:rsidP="00553F8D">
            <w:r w:rsidRPr="00064CE1">
              <w:rPr>
                <w:b/>
                <w:bCs/>
                <w:color w:val="EE0000"/>
              </w:rPr>
              <w:t xml:space="preserve">1 909 €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243" w14:textId="77777777" w:rsidR="00E05685" w:rsidRPr="00D70FE3" w:rsidRDefault="00E05685" w:rsidP="00553F8D">
            <w:pPr>
              <w:rPr>
                <w:highlight w:val="yellow"/>
              </w:rPr>
            </w:pPr>
            <w:r w:rsidRPr="00064CE1">
              <w:rPr>
                <w:b/>
                <w:bCs/>
                <w:color w:val="EE0000"/>
              </w:rPr>
              <w:t xml:space="preserve">2099 € </w:t>
            </w:r>
          </w:p>
        </w:tc>
      </w:tr>
      <w:tr w:rsidR="00E05685" w:rsidRPr="005E45E5" w14:paraId="1093A11D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268" w14:textId="77777777" w:rsidR="00E05685" w:rsidRPr="005E45E5" w:rsidRDefault="00E05685" w:rsidP="00553F8D">
            <w:pPr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B922" w14:textId="77777777" w:rsidR="00E05685" w:rsidRPr="005E45E5" w:rsidRDefault="00E05685" w:rsidP="00553F8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6E2" w14:textId="77777777" w:rsidR="00E05685" w:rsidRPr="00B91E3C" w:rsidRDefault="00E05685" w:rsidP="00553F8D">
            <w:pPr>
              <w:rPr>
                <w:b/>
                <w:bCs/>
              </w:rPr>
            </w:pPr>
            <w:r w:rsidRPr="00064CE1">
              <w:rPr>
                <w:b/>
                <w:bCs/>
                <w:color w:val="EE0000"/>
              </w:rPr>
              <w:t>1709 €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DEB" w14:textId="77777777" w:rsidR="00E05685" w:rsidRPr="00B91E3C" w:rsidRDefault="00E05685" w:rsidP="00553F8D">
            <w:pPr>
              <w:rPr>
                <w:b/>
                <w:bCs/>
              </w:rPr>
            </w:pPr>
            <w:r w:rsidRPr="00064CE1">
              <w:rPr>
                <w:b/>
                <w:bCs/>
                <w:color w:val="EE0000"/>
              </w:rPr>
              <w:t>2135 €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6D6" w14:textId="77777777" w:rsidR="00E05685" w:rsidRPr="00B91E3C" w:rsidRDefault="00E05685" w:rsidP="00553F8D">
            <w:pPr>
              <w:rPr>
                <w:b/>
                <w:bCs/>
              </w:rPr>
            </w:pPr>
            <w:r w:rsidRPr="00064CE1">
              <w:rPr>
                <w:b/>
                <w:bCs/>
                <w:color w:val="EE0000"/>
              </w:rPr>
              <w:t>2350 €</w:t>
            </w:r>
          </w:p>
        </w:tc>
      </w:tr>
    </w:tbl>
    <w:p w14:paraId="6789F417" w14:textId="77777777" w:rsidR="00E05685" w:rsidRDefault="00E05685"/>
    <w:p w14:paraId="4A9F5670" w14:textId="77777777" w:rsidR="00207B39" w:rsidRPr="005E45E5" w:rsidRDefault="00207B39" w:rsidP="00207B39">
      <w:r w:rsidRPr="005E45E5">
        <w:rPr>
          <w:b/>
          <w:bCs/>
        </w:rPr>
        <w:t xml:space="preserve">Réductions de la contribution scolaire : </w:t>
      </w:r>
    </w:p>
    <w:p w14:paraId="5DC3E6AB" w14:textId="77777777" w:rsidR="00207B39" w:rsidRPr="005E45E5" w:rsidRDefault="00207B39" w:rsidP="00207B39">
      <w:r w:rsidRPr="005E45E5">
        <w:t xml:space="preserve">A partir de 3 enfants scolarisés à La Xavière, les familles bénéficient d’une réduction de 15%. </w:t>
      </w:r>
    </w:p>
    <w:p w14:paraId="3F75221C" w14:textId="77777777" w:rsidR="00207B39" w:rsidRPr="005E45E5" w:rsidRDefault="00207B39" w:rsidP="00207B39">
      <w:r w:rsidRPr="005E45E5">
        <w:t xml:space="preserve">Les familles travaillant dans le centre scolaire bénéficient d’une réduction de 30%. </w:t>
      </w:r>
    </w:p>
    <w:p w14:paraId="0BAA6CE8" w14:textId="77777777" w:rsidR="00207B39" w:rsidRPr="005E45E5" w:rsidRDefault="00207B39" w:rsidP="00207B39">
      <w:r w:rsidRPr="005E45E5">
        <w:t xml:space="preserve">Les familles travaillant dans l’enseignement catholique bénéficient d’une réduction de 15% </w:t>
      </w:r>
    </w:p>
    <w:p w14:paraId="2420C6DE" w14:textId="77777777" w:rsidR="00207B39" w:rsidRPr="005E45E5" w:rsidRDefault="00207B39" w:rsidP="00207B39">
      <w:r w:rsidRPr="005E45E5">
        <w:rPr>
          <w:b/>
          <w:bCs/>
        </w:rPr>
        <w:t xml:space="preserve">(Nous adresser impérativement un justificatif). </w:t>
      </w:r>
    </w:p>
    <w:p w14:paraId="1879EA2C" w14:textId="2066CEBC" w:rsidR="00207B39" w:rsidRPr="005E45E5" w:rsidRDefault="00207B39" w:rsidP="00207B39">
      <w:r w:rsidRPr="005E45E5">
        <w:t>En cas de modification importante de vos ressources en 202</w:t>
      </w:r>
      <w:r>
        <w:t>5</w:t>
      </w:r>
      <w:r w:rsidRPr="005E45E5">
        <w:t xml:space="preserve"> ou en 202</w:t>
      </w:r>
      <w:r>
        <w:t>6</w:t>
      </w:r>
      <w:r w:rsidRPr="005E45E5">
        <w:t xml:space="preserve">, nous adresser en complément tout document permettant de justifier cette situation qui sera alors étudiée par la commission Entraide. </w:t>
      </w:r>
    </w:p>
    <w:p w14:paraId="18196451" w14:textId="77777777" w:rsidR="00207B39" w:rsidRPr="005E45E5" w:rsidRDefault="00207B39" w:rsidP="00207B39">
      <w:r w:rsidRPr="005E45E5">
        <w:t xml:space="preserve">Si vous souhaitez être </w:t>
      </w:r>
      <w:r w:rsidRPr="005E45E5">
        <w:rPr>
          <w:b/>
          <w:bCs/>
        </w:rPr>
        <w:t>Solidaires</w:t>
      </w:r>
      <w:r w:rsidRPr="005E45E5">
        <w:t xml:space="preserve">, indiquez la </w:t>
      </w:r>
      <w:r w:rsidRPr="005E45E5">
        <w:rPr>
          <w:b/>
          <w:bCs/>
        </w:rPr>
        <w:t xml:space="preserve">Lettre-Clé S </w:t>
      </w:r>
      <w:r w:rsidRPr="005E45E5">
        <w:t xml:space="preserve">dans la procédure d’inscription. </w:t>
      </w:r>
    </w:p>
    <w:p w14:paraId="212A3219" w14:textId="77777777" w:rsidR="00207B39" w:rsidRPr="005E45E5" w:rsidRDefault="00207B39" w:rsidP="00207B39">
      <w:r w:rsidRPr="005E45E5">
        <w:lastRenderedPageBreak/>
        <w:t xml:space="preserve">Si en cours d’année vous rencontrez malheureusement des </w:t>
      </w:r>
      <w:r w:rsidRPr="005E45E5">
        <w:rPr>
          <w:b/>
          <w:bCs/>
        </w:rPr>
        <w:t xml:space="preserve">difficultés financières, n’attendez pas et prenez contact avec le chef d’établissement de l’Unité ou le service comptabilité. </w:t>
      </w:r>
      <w:r w:rsidRPr="005E45E5">
        <w:t xml:space="preserve">Votre dossier sera alors examiné par la commission Entraide. </w:t>
      </w:r>
    </w:p>
    <w:p w14:paraId="6AD0A52C" w14:textId="77777777" w:rsidR="00207B39" w:rsidRPr="005E45E5" w:rsidRDefault="00207B39" w:rsidP="00207B39">
      <w:r w:rsidRPr="005E45E5">
        <w:rPr>
          <w:b/>
          <w:bCs/>
        </w:rPr>
        <w:t xml:space="preserve">Études et garderies : </w:t>
      </w:r>
    </w:p>
    <w:p w14:paraId="615D7CBF" w14:textId="77777777" w:rsidR="00207B39" w:rsidRDefault="00207B39" w:rsidP="00207B39">
      <w:r w:rsidRPr="00852DA5">
        <w:t>Une circulaire détaillée sera diffusée à la rentrée.</w:t>
      </w:r>
    </w:p>
    <w:p w14:paraId="656E3597" w14:textId="14B86321" w:rsidR="006909E8" w:rsidRPr="006909E8" w:rsidRDefault="006909E8" w:rsidP="00207B39">
      <w:pPr>
        <w:rPr>
          <w:b/>
          <w:bCs/>
        </w:rPr>
      </w:pPr>
      <w:r w:rsidRPr="006909E8">
        <w:rPr>
          <w:b/>
          <w:bCs/>
        </w:rPr>
        <w:t>Repas :</w:t>
      </w:r>
    </w:p>
    <w:p w14:paraId="556EAA09" w14:textId="43A014F7" w:rsidR="006909E8" w:rsidRPr="005E45E5" w:rsidRDefault="006909E8" w:rsidP="00207B39">
      <w:r>
        <w:t>Le coût du repas est de 7 euros</w:t>
      </w:r>
    </w:p>
    <w:p w14:paraId="0D7EEB77" w14:textId="77777777" w:rsidR="006909E8" w:rsidRPr="006909E8" w:rsidRDefault="006909E8" w:rsidP="00207B39">
      <w:pPr>
        <w:rPr>
          <w:b/>
          <w:bCs/>
        </w:rPr>
      </w:pPr>
      <w:r w:rsidRPr="006909E8">
        <w:rPr>
          <w:b/>
          <w:bCs/>
        </w:rPr>
        <w:t>Autres :</w:t>
      </w:r>
    </w:p>
    <w:p w14:paraId="5A879DA7" w14:textId="790E1A1A" w:rsidR="00207B39" w:rsidRDefault="00207B39" w:rsidP="00E87473">
      <w:pPr>
        <w:pStyle w:val="Paragraphedeliste"/>
        <w:numPr>
          <w:ilvl w:val="0"/>
          <w:numId w:val="1"/>
        </w:numPr>
      </w:pPr>
      <w:r w:rsidRPr="005E45E5">
        <w:t>Cotisations pour les services de la Direction Diocésaine et « Indemnités contractuelles Accident ».</w:t>
      </w:r>
    </w:p>
    <w:tbl>
      <w:tblPr>
        <w:tblW w:w="11611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  <w:gridCol w:w="1018"/>
        <w:gridCol w:w="755"/>
        <w:gridCol w:w="763"/>
      </w:tblGrid>
      <w:tr w:rsidR="006909E8" w:rsidRPr="006909E8" w14:paraId="581C5F8F" w14:textId="77777777" w:rsidTr="006909E8">
        <w:trPr>
          <w:trHeight w:val="420"/>
        </w:trPr>
        <w:tc>
          <w:tcPr>
            <w:tcW w:w="1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8986" w14:textId="457EAF9F" w:rsidR="006909E8" w:rsidRPr="006909E8" w:rsidRDefault="006909E8" w:rsidP="006909E8">
            <w:pPr>
              <w:spacing w:after="0" w:line="240" w:lineRule="auto"/>
              <w:ind w:left="48" w:right="1180" w:hanging="48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1C157C1" wp14:editId="659E972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1554480</wp:posOffset>
                  </wp:positionV>
                  <wp:extent cx="266700" cy="220980"/>
                  <wp:effectExtent l="0" t="0" r="0" b="7620"/>
                  <wp:wrapNone/>
                  <wp:docPr id="639486193" name="Image 5" descr="Afficher l'image d'orig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A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 2" descr="Afficher l'image d'origine">
                            <a:extLst>
                              <a:ext uri="{FF2B5EF4-FFF2-40B4-BE49-F238E27FC236}">
                                <a16:creationId xmlns:a16="http://schemas.microsoft.com/office/drawing/2014/main" id="{00000000-0008-0000-0000-00002A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9E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05124" wp14:editId="4B3B250D">
                      <wp:simplePos x="0" y="0"/>
                      <wp:positionH relativeFrom="column">
                        <wp:posOffset>6355080</wp:posOffset>
                      </wp:positionH>
                      <wp:positionV relativeFrom="paragraph">
                        <wp:posOffset>1684020</wp:posOffset>
                      </wp:positionV>
                      <wp:extent cx="0" cy="175260"/>
                      <wp:effectExtent l="0" t="0" r="0" b="0"/>
                      <wp:wrapNone/>
                      <wp:docPr id="48524997" name="Zone de text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CD203-FC78-140F-4139-43E199BC4A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2DE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500.4pt;margin-top:132.6pt;width:0;height:1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" filled="f" stroked="f">
                      <v:textbox style="mso-fit-shape-to-text:t" inset="0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0"/>
            </w:tblGrid>
            <w:tr w:rsidR="006909E8" w:rsidRPr="006909E8" w14:paraId="6BE41F0A" w14:textId="77777777">
              <w:trPr>
                <w:trHeight w:val="420"/>
                <w:tblCellSpacing w:w="0" w:type="dxa"/>
              </w:trPr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9B3A595" w14:textId="77777777" w:rsidR="006909E8" w:rsidRPr="006909E8" w:rsidRDefault="006909E8" w:rsidP="006909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6909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Grille de Calcul de la Contribution Familiale 2026-2027</w:t>
                  </w:r>
                </w:p>
              </w:tc>
            </w:tr>
          </w:tbl>
          <w:p w14:paraId="2987C1A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0AB2F94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C684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A06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53B6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5FD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2D88C236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2459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2D2C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69A55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92F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755DB10E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9D12" w14:textId="77777777" w:rsid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REVENU FISCAL DE REFERENCE 2025                                                                     </w:t>
            </w:r>
          </w:p>
          <w:p w14:paraId="728F6456" w14:textId="79AEF291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Concernant</w:t>
            </w: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les revenus 2024)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9257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013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0DD97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5B279D0B" w14:textId="77777777" w:rsidTr="006909E8">
        <w:trPr>
          <w:trHeight w:val="264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E50B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4B1BE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3E5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593A8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4EB713B0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091D4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73BE6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B19DC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EB01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91A0E39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27E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57AD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7FB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1ABF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0E530DC0" w14:textId="77777777" w:rsidTr="006909E8">
        <w:trPr>
          <w:trHeight w:val="276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0457F" w14:textId="06DAD5B3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PAI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PAI</w:t>
            </w: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EMENTS DE LA CAF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6FA1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463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330C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1D5FCA72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32EDB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6909E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Toutes les prestations hors Handicap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9528F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1315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E6D9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3C1B599A" w14:textId="77777777" w:rsidTr="006909E8">
        <w:trPr>
          <w:trHeight w:val="300"/>
        </w:trPr>
        <w:tc>
          <w:tcPr>
            <w:tcW w:w="9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649E8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montants perçus de septembre 2024 à août 2025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48F5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31CCA0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3E60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CFC7112" w14:textId="77777777" w:rsidTr="006909E8">
        <w:trPr>
          <w:trHeight w:val="288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4D5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43E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0"/>
                <w:szCs w:val="20"/>
                <w:lang w:eastAsia="fr-FR"/>
              </w:rPr>
            </w:pPr>
            <w:r w:rsidRPr="006909E8">
              <w:rPr>
                <w:rFonts w:ascii="Aptos Narrow" w:eastAsia="Times New Roman" w:hAnsi="Aptos Narrow" w:cs="Arial"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807E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15C1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5A67BD43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8A7ED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REVENUS </w:t>
            </w:r>
            <w:r w:rsidRPr="006909E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(case 1 + case 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15DB2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E429B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21AB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57AC7FD" w14:textId="77777777" w:rsidTr="006909E8">
        <w:trPr>
          <w:trHeight w:val="264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4AB00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B0FBE9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FC7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2E9E4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2E013982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6DF3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3F6A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F0A2F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7E4C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3FF622D9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EA2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E76F1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15CBC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4D3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117EB091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A3B4B3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 d'enfants à charge</w:t>
            </w: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(nombre figurant sur l'avis d'imposition)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81704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779BB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9C3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3984B76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8623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C08DC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C9A98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754F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5A59777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E00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77266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6973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65C0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0D22979" w14:textId="77777777" w:rsidTr="006909E8">
        <w:trPr>
          <w:trHeight w:val="276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B0940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COEFFICIENT FAMILLE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2BF50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427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9A8EC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410078B8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DC23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(case N multipliée par 2) + 3 pour le(s) parent(s)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F88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2BF129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F691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67D9A63E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F5FF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11898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5AB5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A346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0499D051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956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06EE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95B9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BE50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66ED3293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D97152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INDICE FAMILIAL</w:t>
            </w: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(case 3 divisée par case 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D0B9C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620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5424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5CE3C1B3" w14:textId="77777777" w:rsidTr="006909E8">
        <w:trPr>
          <w:trHeight w:val="264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A30D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1A46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89CBA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572999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7D9C1E6A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AD82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229E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00F34B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273A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2712AC16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CAA8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67C81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22CC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E652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72FB4BFA" w14:textId="77777777" w:rsidTr="006909E8">
        <w:trPr>
          <w:trHeight w:val="510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6088B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LETTRE-CLE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A4561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44CB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D8D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5EF68EB1" w14:textId="77777777" w:rsidTr="006909E8">
        <w:trPr>
          <w:trHeight w:val="420"/>
        </w:trPr>
        <w:tc>
          <w:tcPr>
            <w:tcW w:w="9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EA58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 l'aide du tableau c-dessous, renseignez la Lettre-Clé                                                                            correspondant au montant obtenu en case 5,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1726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DC582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F700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D5235B8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D1862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D39A6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6B2D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6F7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649039B8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3B494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3586D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0C17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9490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68515BA" w14:textId="77777777" w:rsidR="00207B39" w:rsidRDefault="00207B39"/>
    <w:sectPr w:rsidR="0020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4D31"/>
    <w:multiLevelType w:val="hybridMultilevel"/>
    <w:tmpl w:val="05F25A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6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85"/>
    <w:rsid w:val="001305DF"/>
    <w:rsid w:val="00207B39"/>
    <w:rsid w:val="0058727B"/>
    <w:rsid w:val="00677538"/>
    <w:rsid w:val="006909E8"/>
    <w:rsid w:val="00E05685"/>
    <w:rsid w:val="00E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5BE7"/>
  <w15:chartTrackingRefBased/>
  <w15:docId w15:val="{C4809FA8-0B04-47E1-81DB-70C2FFE1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85"/>
  </w:style>
  <w:style w:type="paragraph" w:styleId="Titre1">
    <w:name w:val="heading 1"/>
    <w:basedOn w:val="Normal"/>
    <w:next w:val="Normal"/>
    <w:link w:val="Titre1Car"/>
    <w:uiPriority w:val="9"/>
    <w:qFormat/>
    <w:rsid w:val="00E0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6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6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6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6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6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6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6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6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6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6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1.gstatic.com/images?q=tbn:ANd9GcSV_Pt6du1TIi67d4tDhNFcNk_18gv3nKzPluKZrdPAcDlTdfvIY43NP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MALAVAL</dc:creator>
  <cp:keywords/>
  <dc:description/>
  <cp:lastModifiedBy>Maryline MALAVAL</cp:lastModifiedBy>
  <cp:revision>4</cp:revision>
  <dcterms:created xsi:type="dcterms:W3CDTF">2025-10-10T11:23:00Z</dcterms:created>
  <dcterms:modified xsi:type="dcterms:W3CDTF">2025-10-10T11:48:00Z</dcterms:modified>
</cp:coreProperties>
</file>